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540" w:lineRule="exact"/>
        <w:jc w:val="center"/>
        <w:textAlignment w:val="auto"/>
        <w:rPr>
          <w:rFonts w:hint="eastAsia" w:ascii="仿宋" w:hAnsi="仿宋" w:eastAsia="仿宋" w:cs="仿宋"/>
          <w:b/>
          <w:bCs/>
          <w:sz w:val="44"/>
          <w:szCs w:val="44"/>
          <w:lang w:eastAsia="zh-CN"/>
        </w:rPr>
      </w:pPr>
      <w:r>
        <w:rPr>
          <w:rFonts w:hint="eastAsia" w:ascii="仿宋" w:hAnsi="仿宋" w:eastAsia="仿宋" w:cs="仿宋"/>
          <w:b/>
          <w:bCs/>
          <w:sz w:val="44"/>
          <w:szCs w:val="44"/>
          <w:lang w:eastAsia="zh-CN"/>
        </w:rPr>
        <w:t>关于非正常专利申请的说明</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b/>
          <w:bCs/>
          <w:sz w:val="32"/>
          <w:szCs w:val="32"/>
          <w:lang w:eastAsia="zh-CN"/>
        </w:rPr>
      </w:pPr>
      <w:r>
        <w:rPr>
          <w:rFonts w:hint="eastAsia" w:ascii="仿宋" w:hAnsi="仿宋" w:eastAsia="仿宋"/>
          <w:b/>
          <w:bCs/>
          <w:sz w:val="32"/>
          <w:szCs w:val="32"/>
          <w:lang w:eastAsia="zh-CN"/>
        </w:rPr>
        <w:t>一、国家进一步加强对非正常专利申请工作的监督力度，</w:t>
      </w:r>
      <w:r>
        <w:rPr>
          <w:rFonts w:hint="eastAsia" w:ascii="仿宋" w:hAnsi="仿宋" w:eastAsia="仿宋" w:cs="仿宋"/>
          <w:b/>
          <w:bCs/>
          <w:i w:val="0"/>
          <w:caps w:val="0"/>
          <w:color w:val="000000"/>
          <w:spacing w:val="0"/>
          <w:sz w:val="32"/>
          <w:szCs w:val="32"/>
        </w:rPr>
        <w:t>维护正常的专利工作秩序</w:t>
      </w:r>
      <w:r>
        <w:rPr>
          <w:rFonts w:hint="eastAsia" w:ascii="仿宋" w:hAnsi="仿宋" w:eastAsia="仿宋" w:cs="仿宋"/>
          <w:b/>
          <w:bCs/>
          <w:i w:val="0"/>
          <w:caps w:val="0"/>
          <w:color w:val="000000"/>
          <w:spacing w:val="0"/>
          <w:sz w:val="32"/>
          <w:szCs w:val="32"/>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40" w:firstLineChars="200"/>
        <w:textAlignment w:val="auto"/>
        <w:rPr>
          <w:rFonts w:hint="eastAsia" w:ascii="仿宋" w:hAnsi="仿宋" w:eastAsia="仿宋"/>
          <w:sz w:val="32"/>
          <w:szCs w:val="32"/>
        </w:rPr>
      </w:pPr>
      <w:r>
        <w:rPr>
          <w:rFonts w:hint="eastAsia" w:ascii="仿宋" w:hAnsi="仿宋" w:eastAsia="仿宋"/>
          <w:sz w:val="32"/>
          <w:szCs w:val="32"/>
        </w:rPr>
        <w:t>为深入学习贯彻习近平新时代中国特色社会主义思想，认真落实党中央、国务院决策部署，切实推动我国从知识产权引进大国向创造大国转变，从追求数量向提高质量转变，近年来，全系统深入开展专利质量提升工程，各级地方知识产权部门加强对专利申请相关支持政策的规范，严厉打击非正常专利申请相关行为，对激励和保护创新、促进知识产权高质量发展等起到了重要作用。但当前仍存在一些地方对专利高质量发展要求重视不够、贯彻落实不力、盲目追求数量指标的现象，不以保护创新为目的的非正常专利申请行为仍然存在，严重扰乱行政管理秩序、损害公共利益、妨碍企业创新、浪费公共资源、破坏专利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40" w:firstLineChars="200"/>
        <w:jc w:val="left"/>
        <w:textAlignment w:val="auto"/>
        <w:rPr>
          <w:rFonts w:hint="eastAsia" w:ascii="仿宋" w:hAnsi="仿宋" w:eastAsia="仿宋"/>
          <w:sz w:val="32"/>
          <w:szCs w:val="32"/>
        </w:rPr>
      </w:pPr>
      <w:r>
        <w:rPr>
          <w:rFonts w:hint="eastAsia" w:ascii="仿宋" w:hAnsi="仿宋" w:eastAsia="仿宋"/>
          <w:sz w:val="32"/>
          <w:szCs w:val="32"/>
        </w:rPr>
        <w:t>为严格落实高质量发展要求，进一步规范专利申请行为，提升专利申请质量，消除不以保护创新为目的的非正常专利申请行为，清理规范专利申请秩序，坚决打击和有效遏制不以保护创新为目的非正常专利申请行为，推动知识产权事业高质量发展。</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43" w:firstLineChars="200"/>
        <w:textAlignment w:val="auto"/>
        <w:rPr>
          <w:rFonts w:hint="eastAsia" w:ascii="仿宋" w:hAnsi="仿宋" w:eastAsia="仿宋" w:cs="仿宋"/>
          <w:b/>
          <w:bCs/>
          <w:i w:val="0"/>
          <w:caps w:val="0"/>
          <w:color w:val="000000"/>
          <w:spacing w:val="0"/>
          <w:kern w:val="2"/>
          <w:sz w:val="32"/>
          <w:szCs w:val="32"/>
          <w:lang w:val="en-US" w:eastAsia="zh-CN" w:bidi="ar-SA"/>
        </w:rPr>
      </w:pPr>
      <w:r>
        <w:rPr>
          <w:rFonts w:hint="eastAsia" w:ascii="仿宋" w:hAnsi="仿宋" w:eastAsia="仿宋" w:cs="仿宋"/>
          <w:b/>
          <w:bCs/>
          <w:i w:val="0"/>
          <w:caps w:val="0"/>
          <w:color w:val="000000"/>
          <w:spacing w:val="0"/>
          <w:kern w:val="2"/>
          <w:sz w:val="32"/>
          <w:szCs w:val="32"/>
          <w:lang w:val="en-US" w:eastAsia="zh-CN" w:bidi="ar-SA"/>
        </w:rPr>
        <w:t>二、什么是非正常专利申请行为。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i w:val="0"/>
          <w:caps w:val="0"/>
          <w:color w:val="000000"/>
          <w:spacing w:val="0"/>
          <w:sz w:val="32"/>
          <w:szCs w:val="32"/>
          <w:lang w:val="en-US" w:eastAsia="zh-CN"/>
        </w:rPr>
      </w:pPr>
      <w:r>
        <w:rPr>
          <w:rFonts w:hint="eastAsia" w:ascii="仿宋" w:hAnsi="仿宋" w:eastAsia="仿宋"/>
          <w:sz w:val="32"/>
          <w:szCs w:val="32"/>
          <w:lang w:eastAsia="zh-CN"/>
        </w:rPr>
        <w:t>根据</w:t>
      </w:r>
      <w:r>
        <w:rPr>
          <w:rFonts w:hint="eastAsia" w:ascii="仿宋" w:hAnsi="仿宋" w:eastAsia="仿宋"/>
          <w:sz w:val="32"/>
          <w:szCs w:val="32"/>
        </w:rPr>
        <w:t>《关于规范专利申请行为的若干规定》（国家知识产权局第75号局令修正版）</w:t>
      </w:r>
      <w:r>
        <w:rPr>
          <w:rFonts w:hint="eastAsia" w:ascii="仿宋" w:hAnsi="仿宋" w:eastAsia="仿宋"/>
          <w:sz w:val="32"/>
          <w:szCs w:val="32"/>
          <w:lang w:eastAsia="zh-CN"/>
        </w:rPr>
        <w:t>、《国家知识产权局关于进一步严格规范专利申请行为的通知》（国知发保字〔2021〕1号）</w:t>
      </w:r>
      <w:r>
        <w:rPr>
          <w:rFonts w:hint="eastAsia" w:ascii="仿宋" w:hAnsi="仿宋" w:eastAsia="仿宋"/>
          <w:sz w:val="32"/>
          <w:szCs w:val="32"/>
          <w:lang w:val="en-US" w:eastAsia="zh-CN"/>
        </w:rPr>
        <w:t>,结合两份文件</w:t>
      </w:r>
      <w:r>
        <w:rPr>
          <w:rFonts w:hint="eastAsia" w:ascii="仿宋" w:hAnsi="仿宋" w:eastAsia="仿宋" w:cs="仿宋"/>
          <w:i w:val="0"/>
          <w:caps w:val="0"/>
          <w:color w:val="000000"/>
          <w:spacing w:val="0"/>
          <w:sz w:val="32"/>
          <w:szCs w:val="32"/>
        </w:rPr>
        <w:t>所称非正常申请专利的行为是指：</w:t>
      </w:r>
      <w:r>
        <w:rPr>
          <w:rFonts w:hint="eastAsia" w:ascii="仿宋" w:hAnsi="仿宋" w:eastAsia="仿宋" w:cs="仿宋"/>
          <w:i w:val="0"/>
          <w:caps w:val="0"/>
          <w:color w:val="000000"/>
          <w:spacing w:val="0"/>
          <w:sz w:val="32"/>
          <w:szCs w:val="32"/>
        </w:rPr>
        <w:br w:type="textWrapping"/>
      </w:r>
      <w:r>
        <w:rPr>
          <w:rFonts w:hint="eastAsia" w:ascii="仿宋" w:hAnsi="仿宋" w:eastAsia="仿宋" w:cs="仿宋"/>
          <w:i w:val="0"/>
          <w:caps w:val="0"/>
          <w:color w:val="000000"/>
          <w:spacing w:val="0"/>
          <w:sz w:val="32"/>
          <w:szCs w:val="32"/>
          <w:lang w:val="en-US" w:eastAsia="zh-CN"/>
        </w:rPr>
        <w:t xml:space="preserve">   （一）《关于规范专利申请行为的若干规定》（国家知识产权局第75号局令）第三条规定的六种情形；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cs="仿宋"/>
          <w:i w:val="0"/>
          <w:caps w:val="0"/>
          <w:color w:val="000000"/>
          <w:spacing w:val="0"/>
          <w:sz w:val="32"/>
          <w:szCs w:val="32"/>
          <w:lang w:val="en-US" w:eastAsia="zh-CN"/>
        </w:rPr>
        <w:t>1.同一单位或者个人提交多件内容明显相同的专利申请；</w:t>
      </w:r>
      <w:r>
        <w:rPr>
          <w:rFonts w:hint="eastAsia" w:ascii="仿宋" w:hAnsi="仿宋" w:eastAsia="仿宋" w:cs="仿宋"/>
          <w:i w:val="0"/>
          <w:caps w:val="0"/>
          <w:color w:val="000000"/>
          <w:spacing w:val="0"/>
          <w:sz w:val="32"/>
          <w:szCs w:val="32"/>
          <w:lang w:val="en-US" w:eastAsia="zh-CN"/>
        </w:rPr>
        <w:br w:type="textWrapping"/>
      </w:r>
      <w:r>
        <w:rPr>
          <w:rFonts w:hint="eastAsia" w:ascii="仿宋" w:hAnsi="仿宋" w:eastAsia="仿宋" w:cs="仿宋"/>
          <w:i w:val="0"/>
          <w:caps w:val="0"/>
          <w:color w:val="000000"/>
          <w:spacing w:val="0"/>
          <w:sz w:val="32"/>
          <w:szCs w:val="32"/>
          <w:lang w:val="en-US" w:eastAsia="zh-CN"/>
        </w:rPr>
        <w:t xml:space="preserve">    2.同一单位或者个人提交多件明显抄袭现有技术或者现有设计的专利申请；</w:t>
      </w:r>
      <w:r>
        <w:rPr>
          <w:rFonts w:hint="eastAsia" w:ascii="仿宋" w:hAnsi="仿宋" w:eastAsia="仿宋" w:cs="仿宋"/>
          <w:i w:val="0"/>
          <w:caps w:val="0"/>
          <w:color w:val="000000"/>
          <w:spacing w:val="0"/>
          <w:sz w:val="32"/>
          <w:szCs w:val="32"/>
          <w:lang w:val="en-US" w:eastAsia="zh-CN"/>
        </w:rPr>
        <w:br w:type="textWrapping"/>
      </w:r>
      <w:r>
        <w:rPr>
          <w:rFonts w:hint="eastAsia" w:ascii="仿宋" w:hAnsi="仿宋" w:eastAsia="仿宋" w:cs="仿宋"/>
          <w:i w:val="0"/>
          <w:caps w:val="0"/>
          <w:color w:val="000000"/>
          <w:spacing w:val="0"/>
          <w:sz w:val="32"/>
          <w:szCs w:val="32"/>
          <w:lang w:val="en-US" w:eastAsia="zh-CN"/>
        </w:rPr>
        <w:t xml:space="preserve">    3.同一单位或者个人提交多件不同材料、组分、配比、部件等简单替换或者拼凑的专利申请；</w:t>
      </w:r>
      <w:r>
        <w:rPr>
          <w:rFonts w:hint="eastAsia" w:ascii="仿宋" w:hAnsi="仿宋" w:eastAsia="仿宋" w:cs="仿宋"/>
          <w:i w:val="0"/>
          <w:caps w:val="0"/>
          <w:color w:val="000000"/>
          <w:spacing w:val="0"/>
          <w:sz w:val="32"/>
          <w:szCs w:val="32"/>
          <w:lang w:val="en-US" w:eastAsia="zh-CN"/>
        </w:rPr>
        <w:br w:type="textWrapping"/>
      </w:r>
      <w:r>
        <w:rPr>
          <w:rFonts w:hint="eastAsia" w:ascii="仿宋" w:hAnsi="仿宋" w:eastAsia="仿宋" w:cs="仿宋"/>
          <w:i w:val="0"/>
          <w:caps w:val="0"/>
          <w:color w:val="000000"/>
          <w:spacing w:val="0"/>
          <w:sz w:val="32"/>
          <w:szCs w:val="32"/>
          <w:lang w:val="en-US" w:eastAsia="zh-CN"/>
        </w:rPr>
        <w:t xml:space="preserve">    4.同一单位或者个人提交多件实验数据或者技术效果明显编造的专利申请；</w:t>
      </w:r>
      <w:r>
        <w:rPr>
          <w:rFonts w:hint="eastAsia" w:ascii="仿宋" w:hAnsi="仿宋" w:eastAsia="仿宋" w:cs="仿宋"/>
          <w:i w:val="0"/>
          <w:caps w:val="0"/>
          <w:color w:val="000000"/>
          <w:spacing w:val="0"/>
          <w:sz w:val="32"/>
          <w:szCs w:val="32"/>
          <w:lang w:val="en-US" w:eastAsia="zh-CN"/>
        </w:rPr>
        <w:br w:type="textWrapping"/>
      </w:r>
      <w:r>
        <w:rPr>
          <w:rFonts w:hint="eastAsia" w:ascii="仿宋" w:hAnsi="仿宋" w:eastAsia="仿宋" w:cs="仿宋"/>
          <w:i w:val="0"/>
          <w:caps w:val="0"/>
          <w:color w:val="000000"/>
          <w:spacing w:val="0"/>
          <w:sz w:val="32"/>
          <w:szCs w:val="32"/>
          <w:lang w:val="en-US" w:eastAsia="zh-CN"/>
        </w:rPr>
        <w:t xml:space="preserve">    5.同一单位或者个人提交多件利用计算机技术等随机生成产品形状、图案或者色彩的专利申请；</w:t>
      </w:r>
      <w:r>
        <w:rPr>
          <w:rFonts w:hint="eastAsia" w:ascii="仿宋" w:hAnsi="仿宋" w:eastAsia="仿宋" w:cs="仿宋"/>
          <w:i w:val="0"/>
          <w:caps w:val="0"/>
          <w:color w:val="000000"/>
          <w:spacing w:val="0"/>
          <w:sz w:val="32"/>
          <w:szCs w:val="32"/>
          <w:lang w:val="en-US" w:eastAsia="zh-CN"/>
        </w:rPr>
        <w:br w:type="textWrapping"/>
      </w:r>
      <w:r>
        <w:rPr>
          <w:rFonts w:hint="eastAsia" w:ascii="仿宋" w:hAnsi="仿宋" w:eastAsia="仿宋" w:cs="仿宋"/>
          <w:i w:val="0"/>
          <w:caps w:val="0"/>
          <w:color w:val="000000"/>
          <w:spacing w:val="0"/>
          <w:sz w:val="32"/>
          <w:szCs w:val="32"/>
          <w:lang w:val="en-US" w:eastAsia="zh-CN"/>
        </w:rPr>
        <w:t xml:space="preserve">    6.帮助他人提交或者专利代理机构代理提交本条第一项至第五项所述类型的专利申请。</w:t>
      </w:r>
      <w:r>
        <w:rPr>
          <w:rFonts w:hint="eastAsia" w:ascii="仿宋" w:hAnsi="仿宋" w:eastAsia="仿宋" w:cs="仿宋"/>
          <w:i w:val="0"/>
          <w:caps w:val="0"/>
          <w:color w:val="000000"/>
          <w:spacing w:val="0"/>
          <w:sz w:val="32"/>
          <w:szCs w:val="32"/>
          <w:lang w:val="en-US" w:eastAsia="zh-CN"/>
        </w:rPr>
        <w:br w:type="textWrapping"/>
      </w:r>
      <w:r>
        <w:rPr>
          <w:rFonts w:hint="eastAsia" w:ascii="仿宋" w:hAnsi="仿宋" w:eastAsia="仿宋" w:cs="仿宋"/>
          <w:i w:val="0"/>
          <w:caps w:val="0"/>
          <w:color w:val="000000"/>
          <w:spacing w:val="0"/>
          <w:sz w:val="32"/>
          <w:szCs w:val="32"/>
          <w:lang w:val="en-US" w:eastAsia="zh-CN"/>
        </w:rPr>
        <w:t xml:space="preserve">    </w:t>
      </w:r>
      <w:r>
        <w:rPr>
          <w:rFonts w:hint="eastAsia" w:ascii="仿宋" w:hAnsi="仿宋" w:eastAsia="仿宋"/>
          <w:sz w:val="32"/>
          <w:szCs w:val="32"/>
        </w:rPr>
        <w:t>（</w:t>
      </w:r>
      <w:r>
        <w:rPr>
          <w:rFonts w:hint="eastAsia" w:ascii="仿宋" w:hAnsi="仿宋" w:eastAsia="仿宋"/>
          <w:sz w:val="32"/>
          <w:szCs w:val="32"/>
          <w:lang w:eastAsia="zh-CN"/>
        </w:rPr>
        <w:t>二</w:t>
      </w:r>
      <w:r>
        <w:rPr>
          <w:rFonts w:hint="eastAsia" w:ascii="仿宋" w:hAnsi="仿宋" w:eastAsia="仿宋"/>
          <w:sz w:val="32"/>
          <w:szCs w:val="32"/>
        </w:rPr>
        <w:t>）单位或个人故意将相关联的专利申请分散提交；</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eastAsia="zh-CN"/>
        </w:rPr>
        <w:t>三</w:t>
      </w:r>
      <w:r>
        <w:rPr>
          <w:rFonts w:hint="eastAsia" w:ascii="仿宋" w:hAnsi="仿宋" w:eastAsia="仿宋"/>
          <w:sz w:val="32"/>
          <w:szCs w:val="32"/>
        </w:rPr>
        <w:t>）单位或个人提交与其研发能力明显不符的专利申请；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eastAsia="zh-CN"/>
        </w:rPr>
        <w:t>四</w:t>
      </w:r>
      <w:r>
        <w:rPr>
          <w:rFonts w:hint="eastAsia" w:ascii="仿宋" w:hAnsi="仿宋" w:eastAsia="仿宋"/>
          <w:sz w:val="32"/>
          <w:szCs w:val="32"/>
        </w:rPr>
        <w:t>）单位或个人异常倒卖专利申请；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eastAsia="zh-CN"/>
        </w:rPr>
        <w:t>五</w:t>
      </w:r>
      <w:r>
        <w:rPr>
          <w:rFonts w:hint="eastAsia" w:ascii="仿宋" w:hAnsi="仿宋" w:eastAsia="仿宋"/>
          <w:sz w:val="32"/>
          <w:szCs w:val="32"/>
        </w:rPr>
        <w:t>）单位或个人提交的专利申请存在技术方案以复杂结构实现简单功能、采用常规或简单特征进行组合或堆叠等明显不符合技术改进常理的行为；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eastAsia="zh-CN"/>
        </w:rPr>
        <w:t>六</w:t>
      </w:r>
      <w:r>
        <w:rPr>
          <w:rFonts w:hint="eastAsia" w:ascii="仿宋" w:hAnsi="仿宋" w:eastAsia="仿宋"/>
          <w:sz w:val="32"/>
          <w:szCs w:val="32"/>
        </w:rPr>
        <w:t>）其他违反民法典规定的诚实信用原则、不符合专利法相关规定、扰乱专利申请管理秩序的行为。</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b/>
          <w:bCs/>
          <w:i w:val="0"/>
          <w:caps w:val="0"/>
          <w:color w:val="000000"/>
          <w:spacing w:val="0"/>
          <w:kern w:val="2"/>
          <w:sz w:val="32"/>
          <w:szCs w:val="32"/>
          <w:lang w:val="en-US" w:eastAsia="zh-CN" w:bidi="ar-SA"/>
        </w:rPr>
      </w:pPr>
      <w:r>
        <w:rPr>
          <w:rFonts w:hint="eastAsia" w:ascii="仿宋" w:hAnsi="仿宋" w:eastAsia="仿宋" w:cs="仿宋"/>
          <w:b/>
          <w:bCs/>
          <w:i w:val="0"/>
          <w:caps w:val="0"/>
          <w:color w:val="000000"/>
          <w:spacing w:val="0"/>
          <w:kern w:val="2"/>
          <w:sz w:val="32"/>
          <w:szCs w:val="32"/>
          <w:lang w:val="en-US" w:eastAsia="zh-CN" w:bidi="ar-SA"/>
        </w:rPr>
        <w:t>三、对非正常专利行为的惩处措施（即对非正常专利申请单位的影响）。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对非正常申请专利的行为，除依据专利法及其实施细则的规定对提交的专利申请进行处理之外，可以视情节采取下列处理措施：</w:t>
      </w:r>
      <w:r>
        <w:rPr>
          <w:rFonts w:hint="eastAsia" w:ascii="仿宋" w:hAnsi="仿宋" w:eastAsia="仿宋" w:cs="仿宋"/>
          <w:i w:val="0"/>
          <w:caps w:val="0"/>
          <w:color w:val="000000"/>
          <w:spacing w:val="0"/>
          <w:sz w:val="32"/>
          <w:szCs w:val="32"/>
        </w:rPr>
        <w:br w:type="textWrapping"/>
      </w:r>
      <w:r>
        <w:rPr>
          <w:rFonts w:hint="eastAsia" w:ascii="仿宋" w:hAnsi="仿宋" w:eastAsia="仿宋" w:cs="仿宋"/>
          <w:i w:val="0"/>
          <w:caps w:val="0"/>
          <w:color w:val="000000"/>
          <w:spacing w:val="0"/>
          <w:sz w:val="32"/>
          <w:szCs w:val="32"/>
          <w:lang w:val="en-US" w:eastAsia="zh-CN"/>
        </w:rPr>
        <w:t xml:space="preserve">    </w:t>
      </w:r>
      <w:r>
        <w:rPr>
          <w:rFonts w:hint="eastAsia" w:ascii="仿宋" w:hAnsi="仿宋" w:eastAsia="仿宋" w:cs="仿宋"/>
          <w:i w:val="0"/>
          <w:caps w:val="0"/>
          <w:color w:val="000000"/>
          <w:spacing w:val="0"/>
          <w:sz w:val="32"/>
          <w:szCs w:val="32"/>
        </w:rPr>
        <w:t>（一）对申请人不予减缴专利费用</w:t>
      </w:r>
      <w:r>
        <w:rPr>
          <w:rFonts w:hint="eastAsia" w:ascii="仿宋" w:hAnsi="仿宋" w:eastAsia="仿宋" w:cs="仿宋"/>
          <w:i w:val="0"/>
          <w:caps w:val="0"/>
          <w:color w:val="000000"/>
          <w:spacing w:val="0"/>
          <w:sz w:val="32"/>
          <w:szCs w:val="32"/>
          <w:lang w:eastAsia="zh-CN"/>
        </w:rPr>
        <w:t>。</w:t>
      </w:r>
      <w:r>
        <w:rPr>
          <w:rFonts w:hint="eastAsia" w:ascii="仿宋" w:hAnsi="仿宋" w:eastAsia="仿宋" w:cs="仿宋"/>
          <w:i w:val="0"/>
          <w:caps w:val="0"/>
          <w:color w:val="000000"/>
          <w:spacing w:val="0"/>
          <w:sz w:val="32"/>
          <w:szCs w:val="32"/>
        </w:rPr>
        <w:t>已经减缴的，要求补缴已经减缴的费用；情节严重的，自本年度起五年内不予减缴专利费用；</w:t>
      </w:r>
      <w:r>
        <w:rPr>
          <w:rFonts w:hint="eastAsia" w:ascii="仿宋" w:hAnsi="仿宋" w:eastAsia="仿宋" w:cs="仿宋"/>
          <w:i w:val="0"/>
          <w:caps w:val="0"/>
          <w:color w:val="000000"/>
          <w:spacing w:val="0"/>
          <w:sz w:val="32"/>
          <w:szCs w:val="32"/>
        </w:rPr>
        <w:br w:type="textWrapping"/>
      </w:r>
      <w:r>
        <w:rPr>
          <w:rFonts w:hint="eastAsia" w:ascii="仿宋" w:hAnsi="仿宋" w:eastAsia="仿宋" w:cs="仿宋"/>
          <w:i w:val="0"/>
          <w:caps w:val="0"/>
          <w:color w:val="000000"/>
          <w:spacing w:val="0"/>
          <w:sz w:val="32"/>
          <w:szCs w:val="32"/>
          <w:lang w:val="en-US" w:eastAsia="zh-CN"/>
        </w:rPr>
        <w:t xml:space="preserve">    </w:t>
      </w:r>
      <w:r>
        <w:rPr>
          <w:rFonts w:hint="eastAsia" w:ascii="仿宋" w:hAnsi="仿宋" w:eastAsia="仿宋" w:cs="仿宋"/>
          <w:i w:val="0"/>
          <w:caps w:val="0"/>
          <w:color w:val="000000"/>
          <w:spacing w:val="0"/>
          <w:sz w:val="32"/>
          <w:szCs w:val="32"/>
        </w:rPr>
        <w:t>（二）在国家知识产权局政府网站以及《中国知识产权报》上予以通报，并纳入全国信用信息共享平台；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000000"/>
          <w:spacing w:val="0"/>
          <w:sz w:val="32"/>
          <w:szCs w:val="32"/>
        </w:rPr>
        <w:t>（三）在国家知识产权局的专利申请数量统计中扣除非正常申请专利的数量；</w:t>
      </w:r>
      <w:r>
        <w:rPr>
          <w:rFonts w:hint="eastAsia" w:ascii="仿宋" w:hAnsi="仿宋" w:eastAsia="仿宋" w:cs="仿宋"/>
          <w:i w:val="0"/>
          <w:caps w:val="0"/>
          <w:color w:val="000000"/>
          <w:spacing w:val="0"/>
          <w:sz w:val="32"/>
          <w:szCs w:val="32"/>
        </w:rPr>
        <w:br w:type="textWrapping"/>
      </w:r>
      <w:r>
        <w:rPr>
          <w:rFonts w:hint="eastAsia" w:ascii="仿宋" w:hAnsi="仿宋" w:eastAsia="仿宋" w:cs="仿宋"/>
          <w:i w:val="0"/>
          <w:caps w:val="0"/>
          <w:color w:val="000000"/>
          <w:spacing w:val="0"/>
          <w:sz w:val="32"/>
          <w:szCs w:val="32"/>
          <w:lang w:val="en-US" w:eastAsia="zh-CN"/>
        </w:rPr>
        <w:t xml:space="preserve">    </w:t>
      </w:r>
      <w:r>
        <w:rPr>
          <w:rFonts w:hint="eastAsia" w:ascii="仿宋" w:hAnsi="仿宋" w:eastAsia="仿宋" w:cs="仿宋"/>
          <w:i w:val="0"/>
          <w:caps w:val="0"/>
          <w:color w:val="000000"/>
          <w:spacing w:val="0"/>
          <w:sz w:val="32"/>
          <w:szCs w:val="32"/>
        </w:rPr>
        <w:t>（四）各级地方知识产权部门对申请人和相关代理机构不予资助或者奖励。已经资助或者奖励的，全部或者部分追还。情节严重的，自本年度起五年内不予资助或者奖励。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40" w:firstLineChars="200"/>
        <w:jc w:val="left"/>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w:t>
      </w:r>
      <w:r>
        <w:rPr>
          <w:rFonts w:hint="eastAsia" w:ascii="仿宋" w:hAnsi="仿宋" w:eastAsia="仿宋" w:cs="仿宋"/>
          <w:i w:val="0"/>
          <w:caps w:val="0"/>
          <w:color w:val="000000"/>
          <w:spacing w:val="0"/>
          <w:sz w:val="32"/>
          <w:szCs w:val="32"/>
          <w:lang w:eastAsia="zh-CN"/>
        </w:rPr>
        <w:t>五</w:t>
      </w:r>
      <w:r>
        <w:rPr>
          <w:rFonts w:hint="eastAsia" w:ascii="仿宋" w:hAnsi="仿宋" w:eastAsia="仿宋" w:cs="仿宋"/>
          <w:i w:val="0"/>
          <w:caps w:val="0"/>
          <w:color w:val="000000"/>
          <w:spacing w:val="0"/>
          <w:sz w:val="32"/>
          <w:szCs w:val="32"/>
        </w:rPr>
        <w:t>）取消申报国家知识产权示范和优势企业、知识产权保护中心备案企业资格，以及中国专利奖申报、参评或获奖资格。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（五）中华全国专利代理人协会对从事非正常申请专利行为的专利代理机构以及专利代理人采取行业自律措施，必要时专利代理惩戒委员会根据《专利代理惩戒规则（暂行）》的规定给予相应惩戒；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40" w:firstLineChars="200"/>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六）各级地方知识产权部门对代理该类申请、严重扰乱专利工作秩序的专利代理机构，根据认定情况，依法加大查办力度。中华全国专利代理师协会对从事和涉及该类申请的专利代理机构以及专利代理师采取行业自律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40" w:firstLineChars="200"/>
        <w:textAlignment w:val="auto"/>
        <w:rPr>
          <w:rFonts w:hint="eastAsia" w:asciiTheme="minorHAnsi" w:hAnsiTheme="minorHAnsi" w:eastAsiaTheme="minorEastAsia" w:cstheme="minorBidi"/>
          <w:kern w:val="2"/>
          <w:sz w:val="32"/>
          <w:szCs w:val="32"/>
          <w:lang w:val="en-US" w:eastAsia="zh-CN" w:bidi="ar-SA"/>
        </w:rPr>
      </w:pPr>
      <w:r>
        <w:rPr>
          <w:rFonts w:hint="eastAsia" w:ascii="仿宋" w:hAnsi="仿宋" w:eastAsia="仿宋" w:cs="仿宋"/>
          <w:i w:val="0"/>
          <w:caps w:val="0"/>
          <w:color w:val="000000"/>
          <w:spacing w:val="0"/>
          <w:sz w:val="32"/>
          <w:szCs w:val="32"/>
        </w:rPr>
        <w:t>（</w:t>
      </w:r>
      <w:r>
        <w:rPr>
          <w:rFonts w:hint="eastAsia" w:ascii="仿宋" w:hAnsi="仿宋" w:eastAsia="仿宋" w:cs="仿宋"/>
          <w:i w:val="0"/>
          <w:caps w:val="0"/>
          <w:color w:val="000000"/>
          <w:spacing w:val="0"/>
          <w:sz w:val="32"/>
          <w:szCs w:val="32"/>
          <w:lang w:eastAsia="zh-CN"/>
        </w:rPr>
        <w:t>七</w:t>
      </w:r>
      <w:r>
        <w:rPr>
          <w:rFonts w:hint="eastAsia" w:ascii="仿宋" w:hAnsi="仿宋" w:eastAsia="仿宋" w:cs="仿宋"/>
          <w:i w:val="0"/>
          <w:caps w:val="0"/>
          <w:color w:val="000000"/>
          <w:spacing w:val="0"/>
          <w:sz w:val="32"/>
          <w:szCs w:val="32"/>
        </w:rPr>
        <w:t>）通过非正常申请专利的行为骗取资助和奖励，情节严重构成犯罪的，依法移送有关机关追究刑事责任。</w:t>
      </w:r>
      <w:r>
        <w:rPr>
          <w:rFonts w:hint="eastAsia" w:ascii="仿宋" w:hAnsi="仿宋" w:eastAsia="仿宋" w:cs="仿宋"/>
          <w:i w:val="0"/>
          <w:caps w:val="0"/>
          <w:color w:val="000000"/>
          <w:spacing w:val="0"/>
          <w:sz w:val="32"/>
          <w:szCs w:val="32"/>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F23FA2"/>
    <w:rsid w:val="08723B9C"/>
    <w:rsid w:val="0BF23FA2"/>
    <w:rsid w:val="16675110"/>
    <w:rsid w:val="1AA5052C"/>
    <w:rsid w:val="3FDB0C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2021-06-30T08:34:00Z</dcterms:created>
  <dc:creator>Administrator</dc:creator>
  <cp:lastModifiedBy>Administrator</cp:lastModifiedBy>
  <dcterms:modified xsi:type="dcterms:W3CDTF">2021-07-01T03:00:07Z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